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Einteiliges Fensterbanksystem aus Beton (Glasfaserbeton) GFB Fensterbank Typ S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M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D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  <w:highlight w:val="white"/>
        </w:rPr>
        <w:t>Einteilige-Fensterbank als schlagregensicheres Element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liefern und nach Herstellerangaben montieren.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□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Typ SMD 50/60 (Maße der Abkantung vorne: Höhe 50 mm / Tiefe 60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  <w:highlight w:val="white"/>
        </w:rPr>
        <w:t>□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Typ SMD 80/60 (Maße der Abkantung vorne: Höhe 80 mm / Tiefe 60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Einteiliges Element mit seitlicher Aufbordung und rückseitiger Aufkantung aus Glasfaserbeton.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Der Untergrund muss als waagerechte Fläche mit 0° Neigung als Vorleistung vorbereitet werden,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auf den seitlichen Aufbordungen ist das Fugendichtband Contact einzubauen,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Zwischen der rückseitigen Fensterbankaufkanten und dem Fenster ist ein Fugendichtband Smart 24/3 anzubringen,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vordere Abkantung ist mit einer Tropfkante (Nut) versehen.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Fensterbank einpassen und mit Waterflex Carbon verkleben. Die Verklebung erfolgt vollflächig auf der vorbereiteten druckfesten Dämmstofffläche sowie massiven Untergründen.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Der Anschluss zum Fenster kann zusätzlich mittels Fugenmasse MS abgesiegelt werden.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Fensterbank ist gem. Herstellerangaben anzubringen.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Vor der Bestellung der Fensterbänke sind die genauen Maße am Objekt zu ermitteln.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0,5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) nach DIN 12062-3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Wassereindringtiefe unter Druck in Anlehnung an DIN 12390-8: kein Wasserdurchgang (1,5 bar in 28 d)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Wärmeleitfähigkeit λ: 1,2 Wm/K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Diffusionswiderstandszahl μ: &lt; 150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40 N/mm²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Oberflächenqualität: mind. SB3, hydrophobiert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Elementhöhe hinten Typ SMD 50/60 H = 88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Elementhöhe hinten Typ SMD 80/60 H = 118 mm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Elementtiefe T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mm; maximale Tiefe 350 mm (Auflagerfläche min. 2/3 der Fensterbank)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Elementlänge L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mm; maximale Länge 2500 mm (abhängig von der jeweiligen Tiefe)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Aufbordung hinten: H x B = 15 x 15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Aufbordung seitlich Breite: ..... (20 / 30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Erzeugnis: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Fensterbank Typ GOD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Fensterbank Typ SOD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 zur Montage von GFB Fensterbank Typ SMD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-Winkelkonsole V4A (Set)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-Fugendichtband Contact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-Fugendichtband Smart 24/3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-Waterflex Carbon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-Fugenmasse MS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auto"/>
    <w:pitch w:val="default"/>
  </w:font>
  <w:font w:name="Helvetica Neue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1</Pages>
  <Words>307</Words>
  <Characters>1880</Characters>
  <CharactersWithSpaces>2154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2020-10-16T10:21:05Z</dcterms:modified>
  <cp:revision>4</cp:revision>
  <dc:subject/>
  <dc:title/>
</cp:coreProperties>
</file>